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052B" w14:textId="77777777" w:rsidR="00BF3576" w:rsidRDefault="00502CB2" w:rsidP="00060D59">
      <w:pPr>
        <w:widowControl w:val="0"/>
        <w:ind w:left="720"/>
        <w:jc w:val="right"/>
        <w:rPr>
          <w:rFonts w:ascii="Tahoma" w:hAnsi="Tahoma" w:cs="Tahoma"/>
          <w:b/>
          <w:sz w:val="32"/>
          <w:szCs w:val="32"/>
        </w:rPr>
      </w:pPr>
      <w:r w:rsidRPr="00BF3576">
        <w:rPr>
          <w:rFonts w:ascii="Tahoma" w:hAnsi="Tahoma" w:cs="Tahoma"/>
          <w:sz w:val="32"/>
          <w:szCs w:val="32"/>
        </w:rPr>
        <w:fldChar w:fldCharType="begin"/>
      </w:r>
      <w:r w:rsidRPr="00BF3576">
        <w:rPr>
          <w:rFonts w:ascii="Tahoma" w:hAnsi="Tahoma" w:cs="Tahoma"/>
          <w:sz w:val="32"/>
          <w:szCs w:val="32"/>
        </w:rPr>
        <w:instrText xml:space="preserve"> SEQ CHAPTER \h \r 1</w:instrText>
      </w:r>
      <w:r w:rsidRPr="00BF3576">
        <w:rPr>
          <w:rFonts w:ascii="Tahoma" w:hAnsi="Tahoma" w:cs="Tahoma"/>
          <w:sz w:val="32"/>
          <w:szCs w:val="32"/>
        </w:rPr>
        <w:fldChar w:fldCharType="end"/>
      </w:r>
      <w:r w:rsidR="00BF3576" w:rsidRPr="00BF3576">
        <w:rPr>
          <w:rFonts w:ascii="Tahoma" w:hAnsi="Tahoma" w:cs="Tahoma"/>
          <w:b/>
          <w:sz w:val="32"/>
          <w:szCs w:val="32"/>
        </w:rPr>
        <w:t xml:space="preserve">Additional Guidance Regarding </w:t>
      </w:r>
    </w:p>
    <w:p w14:paraId="633AEDCD" w14:textId="76EEF9F4" w:rsidR="003006A3" w:rsidRPr="00BF3576" w:rsidRDefault="00BF3576" w:rsidP="00060D59">
      <w:pPr>
        <w:widowControl w:val="0"/>
        <w:ind w:left="720"/>
        <w:jc w:val="right"/>
        <w:rPr>
          <w:rFonts w:ascii="Tahoma" w:hAnsi="Tahoma" w:cs="Tahoma"/>
          <w:b/>
          <w:sz w:val="32"/>
          <w:szCs w:val="32"/>
        </w:rPr>
      </w:pPr>
      <w:r w:rsidRPr="00BF3576">
        <w:rPr>
          <w:rFonts w:ascii="Tahoma" w:hAnsi="Tahoma" w:cs="Tahoma"/>
          <w:b/>
          <w:sz w:val="32"/>
          <w:szCs w:val="32"/>
        </w:rPr>
        <w:t>Allocation of Time Abroad</w:t>
      </w:r>
      <w:r w:rsidR="008D3287" w:rsidRPr="00BF3576">
        <w:rPr>
          <w:rFonts w:ascii="Tahoma" w:hAnsi="Tahoma" w:cs="Tahoma"/>
          <w:b/>
          <w:sz w:val="32"/>
          <w:szCs w:val="32"/>
        </w:rPr>
        <w:t xml:space="preserve"> </w:t>
      </w:r>
    </w:p>
    <w:p w14:paraId="41F4E7D0" w14:textId="77777777" w:rsidR="00BF3576" w:rsidRPr="00BF3576" w:rsidRDefault="00BF3576" w:rsidP="00BF3576">
      <w:pPr>
        <w:shd w:val="clear" w:color="auto" w:fill="FFFFFF"/>
        <w:spacing w:after="131" w:line="236" w:lineRule="atLeast"/>
        <w:rPr>
          <w:rFonts w:ascii="Arial" w:eastAsia="Times New Roman" w:hAnsi="Arial" w:cs="Arial"/>
          <w:color w:val="404040" w:themeColor="text1" w:themeTint="BF"/>
          <w:sz w:val="20"/>
        </w:rPr>
      </w:pPr>
    </w:p>
    <w:p w14:paraId="6B6DE981" w14:textId="2DC3B6DB" w:rsidR="00BF3576" w:rsidRPr="00BF3576" w:rsidRDefault="00BF3576" w:rsidP="00BF3576">
      <w:pPr>
        <w:shd w:val="clear" w:color="auto" w:fill="FFFFFF"/>
        <w:rPr>
          <w:rFonts w:ascii="Tahoma" w:eastAsia="Times New Roman" w:hAnsi="Tahoma" w:cs="Tahoma"/>
          <w:color w:val="404040" w:themeColor="text1" w:themeTint="BF"/>
          <w:sz w:val="20"/>
        </w:rPr>
      </w:pPr>
      <w:r w:rsidRPr="00BF3576">
        <w:rPr>
          <w:rFonts w:ascii="Tahoma" w:eastAsia="Times New Roman" w:hAnsi="Tahoma" w:cs="Tahoma"/>
          <w:color w:val="404040" w:themeColor="text1" w:themeTint="BF"/>
          <w:sz w:val="20"/>
        </w:rPr>
        <w:t>It can be challenging to create a schedule for time abroad that gives students access to the unique location-specific assets (people, places</w:t>
      </w:r>
      <w:r w:rsidRPr="00BF3576">
        <w:rPr>
          <w:rFonts w:ascii="Tahoma" w:eastAsia="Times New Roman" w:hAnsi="Tahoma" w:cs="Tahoma"/>
          <w:color w:val="404040" w:themeColor="text1" w:themeTint="BF"/>
          <w:sz w:val="20"/>
        </w:rPr>
        <w:t>,</w:t>
      </w:r>
      <w:r w:rsidRPr="00BF3576">
        <w:rPr>
          <w:rFonts w:ascii="Tahoma" w:eastAsia="Times New Roman" w:hAnsi="Tahoma" w:cs="Tahoma"/>
          <w:color w:val="404040" w:themeColor="text1" w:themeTint="BF"/>
          <w:sz w:val="20"/>
        </w:rPr>
        <w:t xml:space="preserve"> and things) of the destination(s) and allows them (and you) time to adjust to a new time zone and recover from the strain of travel, while also preserving Indiana University’s academic requirements for credit to be awarded.  Program designs vary significantly, with some having </w:t>
      </w:r>
      <w:proofErr w:type="gramStart"/>
      <w:r w:rsidRPr="00BF3576">
        <w:rPr>
          <w:rFonts w:ascii="Tahoma" w:eastAsia="Times New Roman" w:hAnsi="Tahoma" w:cs="Tahoma"/>
          <w:color w:val="404040" w:themeColor="text1" w:themeTint="BF"/>
          <w:sz w:val="20"/>
        </w:rPr>
        <w:t>a majority of</w:t>
      </w:r>
      <w:proofErr w:type="gramEnd"/>
      <w:r w:rsidRPr="00BF3576">
        <w:rPr>
          <w:rFonts w:ascii="Tahoma" w:eastAsia="Times New Roman" w:hAnsi="Tahoma" w:cs="Tahoma"/>
          <w:color w:val="404040" w:themeColor="text1" w:themeTint="BF"/>
          <w:sz w:val="20"/>
        </w:rPr>
        <w:t xml:space="preserve"> the academic contact hours abroad and others having the bulk in the U.S.  The ‘big picture’ may include contact hours, assignments for readings and research, as well as deliverables scheduled in advance of travel, while abroad, and/or post-travel. </w:t>
      </w:r>
    </w:p>
    <w:p w14:paraId="44F5E361" w14:textId="77777777" w:rsidR="00BF3576" w:rsidRDefault="00BF3576" w:rsidP="00BF3576">
      <w:pPr>
        <w:shd w:val="clear" w:color="auto" w:fill="FFFFFF"/>
        <w:rPr>
          <w:rFonts w:ascii="Tahoma" w:eastAsia="Times New Roman" w:hAnsi="Tahoma" w:cs="Tahoma"/>
          <w:color w:val="404040" w:themeColor="text1" w:themeTint="BF"/>
          <w:sz w:val="20"/>
        </w:rPr>
      </w:pPr>
    </w:p>
    <w:p w14:paraId="72A3FCFC" w14:textId="7D58710C" w:rsidR="00BF3576" w:rsidRPr="00BF3576" w:rsidRDefault="00BF3576" w:rsidP="00BF3576">
      <w:pPr>
        <w:shd w:val="clear" w:color="auto" w:fill="FFFFFF"/>
        <w:rPr>
          <w:rFonts w:ascii="Tahoma" w:eastAsia="Times New Roman" w:hAnsi="Tahoma" w:cs="Tahoma"/>
          <w:color w:val="404040" w:themeColor="text1" w:themeTint="BF"/>
          <w:sz w:val="20"/>
        </w:rPr>
      </w:pPr>
      <w:r w:rsidRPr="00BF3576">
        <w:rPr>
          <w:rFonts w:ascii="Tahoma" w:eastAsia="Times New Roman" w:hAnsi="Tahoma" w:cs="Tahoma"/>
          <w:color w:val="404040" w:themeColor="text1" w:themeTint="BF"/>
          <w:sz w:val="20"/>
        </w:rPr>
        <w:t>Proposals should outline the instructional schedule so that the contact hours are clearly identified.</w:t>
      </w:r>
    </w:p>
    <w:p w14:paraId="0CF99E5C" w14:textId="77777777" w:rsidR="00BF3576" w:rsidRDefault="00BF3576" w:rsidP="00BF3576">
      <w:pPr>
        <w:shd w:val="clear" w:color="auto" w:fill="FFFFFF"/>
        <w:rPr>
          <w:rFonts w:ascii="Tahoma" w:eastAsia="Times New Roman" w:hAnsi="Tahoma" w:cs="Tahoma"/>
          <w:color w:val="404040" w:themeColor="text1" w:themeTint="BF"/>
          <w:sz w:val="20"/>
        </w:rPr>
      </w:pPr>
    </w:p>
    <w:p w14:paraId="182D4AF5" w14:textId="2820CA32" w:rsidR="00BF3576" w:rsidRPr="00BF3576" w:rsidRDefault="00BF3576" w:rsidP="00BF3576">
      <w:pPr>
        <w:shd w:val="clear" w:color="auto" w:fill="FFFFFF"/>
        <w:rPr>
          <w:rFonts w:ascii="Tahoma" w:eastAsia="Times New Roman" w:hAnsi="Tahoma" w:cs="Tahoma"/>
          <w:color w:val="404040" w:themeColor="text1" w:themeTint="BF"/>
          <w:sz w:val="20"/>
        </w:rPr>
      </w:pPr>
      <w:r w:rsidRPr="00BF3576">
        <w:rPr>
          <w:rFonts w:ascii="Tahoma" w:eastAsia="Times New Roman" w:hAnsi="Tahoma" w:cs="Tahoma"/>
          <w:color w:val="404040" w:themeColor="text1" w:themeTint="BF"/>
          <w:sz w:val="20"/>
        </w:rPr>
        <w:t>[Note: IU courses traditionally involve 12.5 hours in a classroom setting per 1 credit hour and incorporate lab hours at a 50% value. Therefore, pedagogical time outside of a classroom setting (museum tours, meetings with local authorities, etc.) should probably be factored in at a 2:1 ratio.]</w:t>
      </w:r>
    </w:p>
    <w:p w14:paraId="3C7AB301" w14:textId="77777777" w:rsidR="00BF3576" w:rsidRDefault="00BF3576" w:rsidP="00BF3576">
      <w:pPr>
        <w:shd w:val="clear" w:color="auto" w:fill="FFFFFF"/>
        <w:rPr>
          <w:rFonts w:ascii="Tahoma" w:eastAsia="Times New Roman" w:hAnsi="Tahoma" w:cs="Tahoma"/>
          <w:color w:val="404040" w:themeColor="text1" w:themeTint="BF"/>
          <w:sz w:val="20"/>
        </w:rPr>
      </w:pPr>
    </w:p>
    <w:p w14:paraId="1CA152C7" w14:textId="5F3CD9C1" w:rsidR="00BF3576" w:rsidRPr="00BF3576" w:rsidRDefault="00BF3576" w:rsidP="00BF3576">
      <w:pPr>
        <w:shd w:val="clear" w:color="auto" w:fill="FFFFFF"/>
        <w:rPr>
          <w:rFonts w:ascii="Tahoma" w:eastAsia="Times New Roman" w:hAnsi="Tahoma" w:cs="Tahoma"/>
          <w:color w:val="404040" w:themeColor="text1" w:themeTint="BF"/>
          <w:sz w:val="20"/>
        </w:rPr>
      </w:pPr>
      <w:r w:rsidRPr="00BF3576">
        <w:rPr>
          <w:rFonts w:ascii="Tahoma" w:eastAsia="Times New Roman" w:hAnsi="Tahoma" w:cs="Tahoma"/>
          <w:color w:val="404040" w:themeColor="text1" w:themeTint="BF"/>
          <w:sz w:val="20"/>
        </w:rPr>
        <w:t>Successful models of IU short-term study abroad programs include:</w:t>
      </w:r>
    </w:p>
    <w:p w14:paraId="73F1517D" w14:textId="2B1F85B0" w:rsidR="00BF3576" w:rsidRPr="00BF3576" w:rsidRDefault="00BF3576" w:rsidP="00BF3576">
      <w:pPr>
        <w:pStyle w:val="ListParagraph"/>
        <w:numPr>
          <w:ilvl w:val="0"/>
          <w:numId w:val="9"/>
        </w:numPr>
        <w:shd w:val="clear" w:color="auto" w:fill="FFFFFF"/>
        <w:spacing w:after="0" w:line="240" w:lineRule="auto"/>
        <w:rPr>
          <w:rFonts w:ascii="Tahoma" w:eastAsia="Times New Roman" w:hAnsi="Tahoma" w:cs="Tahoma"/>
          <w:color w:val="404040" w:themeColor="text1" w:themeTint="BF"/>
          <w:sz w:val="20"/>
          <w:szCs w:val="20"/>
        </w:rPr>
      </w:pPr>
      <w:r w:rsidRPr="00BF3576">
        <w:rPr>
          <w:rFonts w:ascii="Tahoma" w:eastAsia="Times New Roman" w:hAnsi="Tahoma" w:cs="Tahoma"/>
          <w:color w:val="404040" w:themeColor="text1" w:themeTint="BF"/>
          <w:sz w:val="20"/>
          <w:szCs w:val="20"/>
        </w:rPr>
        <w:t xml:space="preserve">3 credit, full-semester or 8-week course on campus, with a week-long component abroad </w:t>
      </w:r>
    </w:p>
    <w:p w14:paraId="0BD02744" w14:textId="77777777" w:rsidR="00BF3576" w:rsidRPr="00BF3576" w:rsidRDefault="00BF3576" w:rsidP="00BF3576">
      <w:pPr>
        <w:pStyle w:val="ListParagraph"/>
        <w:numPr>
          <w:ilvl w:val="0"/>
          <w:numId w:val="9"/>
        </w:numPr>
        <w:shd w:val="clear" w:color="auto" w:fill="FFFFFF"/>
        <w:spacing w:after="0" w:line="240" w:lineRule="auto"/>
        <w:rPr>
          <w:rFonts w:ascii="Tahoma" w:eastAsia="Times New Roman" w:hAnsi="Tahoma" w:cs="Tahoma"/>
          <w:color w:val="404040" w:themeColor="text1" w:themeTint="BF"/>
          <w:sz w:val="20"/>
          <w:szCs w:val="20"/>
        </w:rPr>
      </w:pPr>
      <w:r w:rsidRPr="00BF3576">
        <w:rPr>
          <w:rFonts w:ascii="Tahoma" w:eastAsia="Times New Roman" w:hAnsi="Tahoma" w:cs="Tahoma"/>
          <w:color w:val="404040" w:themeColor="text1" w:themeTint="BF"/>
          <w:sz w:val="20"/>
          <w:szCs w:val="20"/>
        </w:rPr>
        <w:t xml:space="preserve">3 credit, three-week program abroad or 6 credit, six-week program abroad, with all academic components taking place </w:t>
      </w:r>
      <w:proofErr w:type="gramStart"/>
      <w:r w:rsidRPr="00BF3576">
        <w:rPr>
          <w:rFonts w:ascii="Tahoma" w:eastAsia="Times New Roman" w:hAnsi="Tahoma" w:cs="Tahoma"/>
          <w:color w:val="404040" w:themeColor="text1" w:themeTint="BF"/>
          <w:sz w:val="20"/>
          <w:szCs w:val="20"/>
        </w:rPr>
        <w:t>abroad</w:t>
      </w:r>
      <w:proofErr w:type="gramEnd"/>
      <w:r w:rsidRPr="00BF3576">
        <w:rPr>
          <w:rFonts w:ascii="Tahoma" w:eastAsia="Times New Roman" w:hAnsi="Tahoma" w:cs="Tahoma"/>
          <w:color w:val="404040" w:themeColor="text1" w:themeTint="BF"/>
          <w:sz w:val="20"/>
          <w:szCs w:val="20"/>
        </w:rPr>
        <w:t xml:space="preserve">  </w:t>
      </w:r>
    </w:p>
    <w:p w14:paraId="4B7F231C" w14:textId="77777777" w:rsidR="00BF3576" w:rsidRPr="00BF3576" w:rsidRDefault="00BF3576" w:rsidP="00BF3576">
      <w:pPr>
        <w:pStyle w:val="ListParagraph"/>
        <w:numPr>
          <w:ilvl w:val="0"/>
          <w:numId w:val="9"/>
        </w:numPr>
        <w:shd w:val="clear" w:color="auto" w:fill="FFFFFF"/>
        <w:spacing w:after="0" w:line="240" w:lineRule="auto"/>
        <w:rPr>
          <w:rFonts w:ascii="Tahoma" w:eastAsia="Times New Roman" w:hAnsi="Tahoma" w:cs="Tahoma"/>
          <w:color w:val="404040" w:themeColor="text1" w:themeTint="BF"/>
          <w:sz w:val="20"/>
          <w:szCs w:val="20"/>
        </w:rPr>
      </w:pPr>
      <w:r w:rsidRPr="00BF3576">
        <w:rPr>
          <w:rFonts w:ascii="Tahoma" w:eastAsia="Times New Roman" w:hAnsi="Tahoma" w:cs="Tahoma"/>
          <w:color w:val="404040" w:themeColor="text1" w:themeTint="BF"/>
          <w:sz w:val="20"/>
          <w:szCs w:val="20"/>
        </w:rPr>
        <w:t>3 credit, two-week program abroad or 6 credit, four-week program abroad, with a few intensive sessions pre- and post-</w:t>
      </w:r>
      <w:proofErr w:type="gramStart"/>
      <w:r w:rsidRPr="00BF3576">
        <w:rPr>
          <w:rFonts w:ascii="Tahoma" w:eastAsia="Times New Roman" w:hAnsi="Tahoma" w:cs="Tahoma"/>
          <w:color w:val="404040" w:themeColor="text1" w:themeTint="BF"/>
          <w:sz w:val="20"/>
          <w:szCs w:val="20"/>
        </w:rPr>
        <w:t>program</w:t>
      </w:r>
      <w:proofErr w:type="gramEnd"/>
      <w:r w:rsidRPr="00BF3576">
        <w:rPr>
          <w:rFonts w:ascii="Tahoma" w:eastAsia="Times New Roman" w:hAnsi="Tahoma" w:cs="Tahoma"/>
          <w:color w:val="404040" w:themeColor="text1" w:themeTint="BF"/>
          <w:sz w:val="20"/>
          <w:szCs w:val="20"/>
        </w:rPr>
        <w:t xml:space="preserve"> </w:t>
      </w:r>
      <w:r w:rsidRPr="00BF3576" w:rsidDel="003D4D1D">
        <w:rPr>
          <w:rFonts w:ascii="Tahoma" w:eastAsia="Times New Roman" w:hAnsi="Tahoma" w:cs="Tahoma"/>
          <w:color w:val="404040" w:themeColor="text1" w:themeTint="BF"/>
          <w:sz w:val="20"/>
          <w:szCs w:val="20"/>
        </w:rPr>
        <w:t xml:space="preserve"> </w:t>
      </w:r>
    </w:p>
    <w:p w14:paraId="7CD5215A" w14:textId="77777777" w:rsidR="00BF3576" w:rsidRDefault="00BF3576" w:rsidP="00BF3576">
      <w:pPr>
        <w:shd w:val="clear" w:color="auto" w:fill="FFFFFF"/>
        <w:rPr>
          <w:rFonts w:ascii="Tahoma" w:eastAsia="Times New Roman" w:hAnsi="Tahoma" w:cs="Tahoma"/>
          <w:color w:val="404040" w:themeColor="text1" w:themeTint="BF"/>
          <w:sz w:val="20"/>
        </w:rPr>
      </w:pPr>
    </w:p>
    <w:p w14:paraId="6772C6FB" w14:textId="4A320ACC" w:rsidR="00BF3576" w:rsidRPr="00BF3576" w:rsidRDefault="00BF3576" w:rsidP="00BF3576">
      <w:pPr>
        <w:shd w:val="clear" w:color="auto" w:fill="FFFFFF"/>
        <w:rPr>
          <w:rFonts w:ascii="Tahoma" w:hAnsi="Tahoma" w:cs="Tahoma"/>
          <w:color w:val="404040" w:themeColor="text1" w:themeTint="BF"/>
          <w:sz w:val="20"/>
        </w:rPr>
      </w:pPr>
      <w:r w:rsidRPr="00BF3576">
        <w:rPr>
          <w:rFonts w:ascii="Tahoma" w:eastAsia="Times New Roman" w:hAnsi="Tahoma" w:cs="Tahoma"/>
          <w:color w:val="404040" w:themeColor="text1" w:themeTint="BF"/>
          <w:sz w:val="20"/>
        </w:rPr>
        <w:t xml:space="preserve">Additionally, please note the following regarding </w:t>
      </w:r>
      <w:r w:rsidRPr="00BF3576">
        <w:rPr>
          <w:rFonts w:ascii="Tahoma" w:hAnsi="Tahoma" w:cs="Tahoma"/>
          <w:color w:val="404040" w:themeColor="text1" w:themeTint="BF"/>
          <w:sz w:val="20"/>
        </w:rPr>
        <w:t>the ‘lab’ (i.e.</w:t>
      </w:r>
      <w:r w:rsidRPr="00BF3576">
        <w:rPr>
          <w:rFonts w:ascii="Tahoma" w:hAnsi="Tahoma" w:cs="Tahoma"/>
          <w:color w:val="404040" w:themeColor="text1" w:themeTint="BF"/>
          <w:sz w:val="20"/>
        </w:rPr>
        <w:t>,</w:t>
      </w:r>
      <w:r w:rsidRPr="00BF3576">
        <w:rPr>
          <w:rFonts w:ascii="Tahoma" w:hAnsi="Tahoma" w:cs="Tahoma"/>
          <w:color w:val="404040" w:themeColor="text1" w:themeTint="BF"/>
          <w:sz w:val="20"/>
        </w:rPr>
        <w:t xml:space="preserve"> experiential) components of programs.  </w:t>
      </w:r>
    </w:p>
    <w:p w14:paraId="46B1DE6C" w14:textId="77777777" w:rsidR="00BF3576" w:rsidRPr="00BF3576" w:rsidRDefault="00BF3576" w:rsidP="00BF3576">
      <w:pPr>
        <w:numPr>
          <w:ilvl w:val="0"/>
          <w:numId w:val="8"/>
        </w:numPr>
        <w:shd w:val="clear" w:color="auto" w:fill="FFFFFF"/>
        <w:ind w:left="662"/>
        <w:rPr>
          <w:rFonts w:ascii="Tahoma" w:hAnsi="Tahoma" w:cs="Tahoma"/>
          <w:color w:val="404040" w:themeColor="text1" w:themeTint="BF"/>
          <w:sz w:val="20"/>
        </w:rPr>
      </w:pPr>
      <w:r w:rsidRPr="00BF3576">
        <w:rPr>
          <w:rFonts w:ascii="Tahoma" w:hAnsi="Tahoma" w:cs="Tahoma"/>
          <w:color w:val="404040" w:themeColor="text1" w:themeTint="BF"/>
          <w:sz w:val="20"/>
        </w:rPr>
        <w:t xml:space="preserve">If the IU faculty member is providing a lecture ‘in situ,’ the time involved can be considered regular class time 1:1 in terms of contact hours.  </w:t>
      </w:r>
    </w:p>
    <w:p w14:paraId="2BB9CD70" w14:textId="1C7EC756" w:rsidR="00BF3576" w:rsidRPr="00BF3576" w:rsidRDefault="00BF3576" w:rsidP="00BF3576">
      <w:pPr>
        <w:numPr>
          <w:ilvl w:val="0"/>
          <w:numId w:val="8"/>
        </w:numPr>
        <w:shd w:val="clear" w:color="auto" w:fill="FFFFFF"/>
        <w:ind w:left="662"/>
        <w:rPr>
          <w:rFonts w:ascii="Tahoma" w:hAnsi="Tahoma" w:cs="Tahoma"/>
          <w:color w:val="404040" w:themeColor="text1" w:themeTint="BF"/>
          <w:sz w:val="20"/>
        </w:rPr>
      </w:pPr>
      <w:r w:rsidRPr="00BF3576">
        <w:rPr>
          <w:rFonts w:ascii="Tahoma" w:hAnsi="Tahoma" w:cs="Tahoma"/>
          <w:color w:val="404040" w:themeColor="text1" w:themeTint="BF"/>
          <w:sz w:val="20"/>
        </w:rPr>
        <w:t>If the visit to a cultural location (i.e.</w:t>
      </w:r>
      <w:r w:rsidRPr="00BF3576">
        <w:rPr>
          <w:rFonts w:ascii="Tahoma" w:hAnsi="Tahoma" w:cs="Tahoma"/>
          <w:color w:val="404040" w:themeColor="text1" w:themeTint="BF"/>
          <w:sz w:val="20"/>
        </w:rPr>
        <w:t>,</w:t>
      </w:r>
      <w:r w:rsidRPr="00BF3576">
        <w:rPr>
          <w:rFonts w:ascii="Tahoma" w:hAnsi="Tahoma" w:cs="Tahoma"/>
          <w:color w:val="404040" w:themeColor="text1" w:themeTint="BF"/>
          <w:sz w:val="20"/>
        </w:rPr>
        <w:t xml:space="preserve"> a monument, market, or museum) does not involve a lecture by the instructor or is led by someone other the program instructor(s) then the ‘lab’ ratio would apply (2:1).  </w:t>
      </w:r>
    </w:p>
    <w:p w14:paraId="120AFD69" w14:textId="77777777" w:rsidR="00BF3576" w:rsidRPr="00BF3576" w:rsidRDefault="00BF3576" w:rsidP="00BF3576">
      <w:pPr>
        <w:numPr>
          <w:ilvl w:val="0"/>
          <w:numId w:val="8"/>
        </w:numPr>
        <w:shd w:val="clear" w:color="auto" w:fill="FFFFFF"/>
        <w:ind w:left="662"/>
        <w:rPr>
          <w:rFonts w:ascii="Tahoma" w:hAnsi="Tahoma" w:cs="Tahoma"/>
          <w:color w:val="404040" w:themeColor="text1" w:themeTint="BF"/>
          <w:sz w:val="20"/>
        </w:rPr>
      </w:pPr>
      <w:r w:rsidRPr="00BF3576">
        <w:rPr>
          <w:rFonts w:ascii="Tahoma" w:hAnsi="Tahoma" w:cs="Tahoma"/>
          <w:color w:val="404040" w:themeColor="text1" w:themeTint="BF"/>
          <w:sz w:val="20"/>
        </w:rPr>
        <w:t xml:space="preserve">If students are visiting a location with no guided commentary or on their own, the experiential activity would not carry any contact time.  </w:t>
      </w:r>
    </w:p>
    <w:p w14:paraId="4AA84FB4" w14:textId="77777777" w:rsidR="00BF3576" w:rsidRPr="00BF3576" w:rsidRDefault="00BF3576" w:rsidP="00BF3576">
      <w:pPr>
        <w:numPr>
          <w:ilvl w:val="0"/>
          <w:numId w:val="8"/>
        </w:numPr>
        <w:shd w:val="clear" w:color="auto" w:fill="FFFFFF"/>
        <w:ind w:left="662"/>
        <w:rPr>
          <w:rFonts w:ascii="Tahoma" w:hAnsi="Tahoma" w:cs="Tahoma"/>
          <w:color w:val="404040" w:themeColor="text1" w:themeTint="BF"/>
          <w:sz w:val="20"/>
        </w:rPr>
      </w:pPr>
      <w:r w:rsidRPr="00BF3576">
        <w:rPr>
          <w:rFonts w:ascii="Tahoma" w:hAnsi="Tahoma" w:cs="Tahoma"/>
          <w:color w:val="404040" w:themeColor="text1" w:themeTint="BF"/>
          <w:sz w:val="20"/>
        </w:rPr>
        <w:t xml:space="preserve">In no circumstance should travel time be factored into the equation, regardless of whether someone is discussing the visit on the vehicle transporting the students.  </w:t>
      </w:r>
    </w:p>
    <w:p w14:paraId="36068CD3" w14:textId="77777777" w:rsidR="00BF3576" w:rsidRPr="00BF3576" w:rsidRDefault="00BF3576" w:rsidP="00BF3576">
      <w:pPr>
        <w:numPr>
          <w:ilvl w:val="0"/>
          <w:numId w:val="8"/>
        </w:numPr>
        <w:shd w:val="clear" w:color="auto" w:fill="FFFFFF"/>
        <w:ind w:left="662"/>
        <w:rPr>
          <w:rFonts w:ascii="Tahoma" w:hAnsi="Tahoma" w:cs="Tahoma"/>
          <w:color w:val="404040" w:themeColor="text1" w:themeTint="BF"/>
          <w:sz w:val="20"/>
        </w:rPr>
      </w:pPr>
      <w:r w:rsidRPr="00BF3576">
        <w:rPr>
          <w:rFonts w:ascii="Tahoma" w:hAnsi="Tahoma" w:cs="Tahoma"/>
          <w:color w:val="404040" w:themeColor="text1" w:themeTint="BF"/>
          <w:sz w:val="20"/>
        </w:rPr>
        <w:t>Program leaders are encouraged to schedule facilitated ‘reflection’ time after cultural visits so that students have time to process what they have experienced; this time can be incorporated into the computation of class time.</w:t>
      </w:r>
    </w:p>
    <w:p w14:paraId="1C0C6DD5" w14:textId="77777777" w:rsidR="00BF3576" w:rsidRPr="00BF3576" w:rsidRDefault="00BF3576" w:rsidP="00BF3576">
      <w:pPr>
        <w:numPr>
          <w:ilvl w:val="0"/>
          <w:numId w:val="8"/>
        </w:numPr>
        <w:shd w:val="clear" w:color="auto" w:fill="FFFFFF"/>
        <w:ind w:left="662"/>
        <w:rPr>
          <w:rFonts w:ascii="Tahoma" w:hAnsi="Tahoma" w:cs="Tahoma"/>
          <w:color w:val="404040" w:themeColor="text1" w:themeTint="BF"/>
          <w:sz w:val="20"/>
        </w:rPr>
      </w:pPr>
      <w:r w:rsidRPr="00BF3576">
        <w:rPr>
          <w:rFonts w:ascii="Tahoma" w:hAnsi="Tahoma" w:cs="Tahoma"/>
          <w:color w:val="404040" w:themeColor="text1" w:themeTint="BF"/>
          <w:sz w:val="20"/>
        </w:rPr>
        <w:t>Generally, if students are abroad for a week or less, there must be academic content hours scheduled on campus prior to and, optimally, after the program.  Such academic sessions should not factor in the logistics regarding the trip itself (that is, discussions about packing, travel, behavioral expectations, etc.) which should take place at another time.  Only academic components of the course should be computed into contact hours.</w:t>
      </w:r>
    </w:p>
    <w:p w14:paraId="20B54B5A" w14:textId="77777777" w:rsidR="00BF3576" w:rsidRPr="00BF3576" w:rsidRDefault="00BF3576" w:rsidP="00BF3576">
      <w:pPr>
        <w:numPr>
          <w:ilvl w:val="0"/>
          <w:numId w:val="8"/>
        </w:numPr>
        <w:shd w:val="clear" w:color="auto" w:fill="FFFFFF"/>
        <w:ind w:left="668"/>
        <w:rPr>
          <w:rFonts w:ascii="Tahoma" w:hAnsi="Tahoma" w:cs="Tahoma"/>
          <w:color w:val="404040" w:themeColor="text1" w:themeTint="BF"/>
          <w:sz w:val="20"/>
        </w:rPr>
      </w:pPr>
      <w:r w:rsidRPr="00BF3576">
        <w:rPr>
          <w:rFonts w:ascii="Tahoma" w:hAnsi="Tahoma" w:cs="Tahoma"/>
          <w:color w:val="404040" w:themeColor="text1" w:themeTint="BF"/>
          <w:sz w:val="20"/>
        </w:rPr>
        <w:t xml:space="preserve">Just arranging a certain number of contact hours does not provide a sufficient atmosphere for learning. Some overseas programs lack the time to engage students in homework and reading that would normally accompany a home campus course.  Therefore, compensating for that lost study time should be factored into the design of the program. </w:t>
      </w:r>
    </w:p>
    <w:p w14:paraId="392E087F" w14:textId="5B81ABFB" w:rsidR="00502CB2" w:rsidRPr="00BF3576" w:rsidRDefault="00BF3576" w:rsidP="00BF3576">
      <w:pPr>
        <w:widowControl w:val="0"/>
        <w:shd w:val="clear" w:color="auto" w:fill="FFFFFF"/>
        <w:tabs>
          <w:tab w:val="left" w:pos="713"/>
        </w:tabs>
        <w:ind w:left="662"/>
        <w:rPr>
          <w:rFonts w:ascii="Tahoma" w:hAnsi="Tahoma" w:cs="Tahoma"/>
          <w:sz w:val="20"/>
        </w:rPr>
      </w:pPr>
      <w:r w:rsidRPr="00BF3576">
        <w:rPr>
          <w:rFonts w:ascii="Tahoma" w:hAnsi="Tahoma" w:cs="Tahoma"/>
          <w:color w:val="404040" w:themeColor="text1" w:themeTint="BF"/>
          <w:sz w:val="20"/>
        </w:rPr>
        <w:t xml:space="preserve"> </w:t>
      </w:r>
    </w:p>
    <w:sectPr w:rsidR="00502CB2" w:rsidRPr="00BF3576" w:rsidSect="00F14B16">
      <w:headerReference w:type="default" r:id="rId8"/>
      <w:footerReference w:type="default" r:id="rId9"/>
      <w:footnotePr>
        <w:numFmt w:val="lowerLetter"/>
      </w:footnotePr>
      <w:endnotePr>
        <w:numFmt w:val="lowerLetter"/>
      </w:endnotePr>
      <w:pgSz w:w="12240" w:h="15840"/>
      <w:pgMar w:top="1152" w:right="1152" w:bottom="720" w:left="1152" w:header="144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09FCD" w14:textId="77777777" w:rsidR="009D2249" w:rsidRDefault="009D2249" w:rsidP="003D26B3">
      <w:r>
        <w:separator/>
      </w:r>
    </w:p>
  </w:endnote>
  <w:endnote w:type="continuationSeparator" w:id="0">
    <w:p w14:paraId="71633235" w14:textId="77777777" w:rsidR="009D2249" w:rsidRDefault="009D2249" w:rsidP="003D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75A6" w14:textId="77777777" w:rsidR="00BF3576" w:rsidRPr="00A71FD2" w:rsidRDefault="00BF3576" w:rsidP="00BF3576">
    <w:pPr>
      <w:widowControl w:val="0"/>
      <w:tabs>
        <w:tab w:val="left" w:pos="713"/>
        <w:tab w:val="left" w:pos="1368"/>
        <w:tab w:val="left" w:pos="2117"/>
        <w:tab w:val="left" w:pos="2866"/>
        <w:tab w:val="left" w:pos="3521"/>
        <w:tab w:val="left" w:pos="4270"/>
        <w:tab w:val="left" w:pos="5018"/>
        <w:tab w:val="right" w:pos="6660"/>
        <w:tab w:val="right" w:pos="8640"/>
      </w:tabs>
      <w:rPr>
        <w:rFonts w:ascii="Tahoma" w:hAnsi="Tahoma" w:cs="Tahoma"/>
        <w:sz w:val="20"/>
      </w:rPr>
    </w:pPr>
    <w:r w:rsidRPr="00A71FD2">
      <w:rPr>
        <w:rFonts w:ascii="Tahoma" w:hAnsi="Tahoma" w:cs="Tahoma"/>
        <w:noProof/>
        <w:sz w:val="20"/>
      </w:rPr>
      <w:pict w14:anchorId="0E6FBF38">
        <v:rect id="_x0000_i1030" alt="" style="width:468pt;height:.05pt;mso-width-percent:0;mso-height-percent:0;mso-width-percent:0;mso-height-percent:0" o:hralign="center" o:hrstd="t" o:hr="t" fillcolor="gray" stroked="f"/>
      </w:pict>
    </w:r>
  </w:p>
  <w:p w14:paraId="693944E2" w14:textId="77777777" w:rsidR="00BF3576" w:rsidRPr="00A71FD2" w:rsidRDefault="00BF3576" w:rsidP="00BF3576">
    <w:pPr>
      <w:widowControl w:val="0"/>
      <w:tabs>
        <w:tab w:val="left" w:pos="713"/>
        <w:tab w:val="left" w:pos="1368"/>
        <w:tab w:val="left" w:pos="2117"/>
        <w:tab w:val="left" w:pos="2866"/>
        <w:tab w:val="left" w:pos="3521"/>
        <w:tab w:val="left" w:pos="4270"/>
        <w:tab w:val="left" w:pos="5018"/>
        <w:tab w:val="right" w:pos="6660"/>
        <w:tab w:val="right" w:pos="8640"/>
      </w:tabs>
      <w:spacing w:line="-96" w:lineRule="auto"/>
      <w:rPr>
        <w:rFonts w:ascii="Tahoma" w:hAnsi="Tahoma" w:cs="Tahoma"/>
        <w:sz w:val="20"/>
      </w:rPr>
    </w:pPr>
  </w:p>
  <w:p w14:paraId="55147B60" w14:textId="6852AC7E" w:rsidR="00BF3576" w:rsidRPr="00BF3576" w:rsidRDefault="00BF3576" w:rsidP="00BF3576">
    <w:pPr>
      <w:widowControl w:val="0"/>
      <w:tabs>
        <w:tab w:val="center" w:pos="5040"/>
        <w:tab w:val="right" w:pos="9720"/>
      </w:tabs>
      <w:jc w:val="center"/>
      <w:rPr>
        <w:rFonts w:ascii="Tahoma" w:hAnsi="Tahoma" w:cs="Tahoma"/>
        <w:b/>
        <w:sz w:val="16"/>
        <w:szCs w:val="16"/>
      </w:rPr>
    </w:pPr>
    <w:r w:rsidRPr="00BF3576">
      <w:rPr>
        <w:rFonts w:ascii="Tahoma" w:hAnsi="Tahoma" w:cs="Tahoma"/>
        <w:b/>
        <w:sz w:val="16"/>
        <w:szCs w:val="16"/>
      </w:rPr>
      <w:t>Ferguson International Center     330 N</w:t>
    </w:r>
    <w:r w:rsidR="00BC65C0">
      <w:rPr>
        <w:rFonts w:ascii="Tahoma" w:hAnsi="Tahoma" w:cs="Tahoma"/>
        <w:b/>
        <w:sz w:val="16"/>
        <w:szCs w:val="16"/>
      </w:rPr>
      <w:t>o</w:t>
    </w:r>
    <w:r w:rsidRPr="00BF3576">
      <w:rPr>
        <w:rFonts w:ascii="Tahoma" w:hAnsi="Tahoma" w:cs="Tahoma"/>
        <w:b/>
        <w:sz w:val="16"/>
        <w:szCs w:val="16"/>
      </w:rPr>
      <w:t xml:space="preserve">. </w:t>
    </w:r>
    <w:proofErr w:type="spellStart"/>
    <w:r w:rsidRPr="00BF3576">
      <w:rPr>
        <w:rFonts w:ascii="Tahoma" w:hAnsi="Tahoma" w:cs="Tahoma"/>
        <w:b/>
        <w:sz w:val="16"/>
        <w:szCs w:val="16"/>
      </w:rPr>
      <w:t>Eagleson</w:t>
    </w:r>
    <w:proofErr w:type="spellEnd"/>
    <w:r w:rsidRPr="00BF3576">
      <w:rPr>
        <w:rFonts w:ascii="Tahoma" w:hAnsi="Tahoma" w:cs="Tahoma"/>
        <w:b/>
        <w:sz w:val="16"/>
        <w:szCs w:val="16"/>
      </w:rPr>
      <w:t xml:space="preserve"> Ave.     Bloomington, IN 47405</w:t>
    </w:r>
  </w:p>
  <w:p w14:paraId="0DCDF396" w14:textId="77777777" w:rsidR="00BF3576" w:rsidRPr="00BF3576" w:rsidRDefault="00BF3576" w:rsidP="00BF3576">
    <w:pPr>
      <w:widowControl w:val="0"/>
      <w:tabs>
        <w:tab w:val="center" w:pos="5040"/>
        <w:tab w:val="right" w:pos="9720"/>
      </w:tabs>
      <w:jc w:val="center"/>
      <w:rPr>
        <w:rFonts w:ascii="Tahoma" w:hAnsi="Tahoma" w:cs="Tahoma"/>
        <w:sz w:val="16"/>
        <w:szCs w:val="16"/>
      </w:rPr>
    </w:pPr>
    <w:r w:rsidRPr="00BF3576">
      <w:rPr>
        <w:rFonts w:ascii="Tahoma" w:hAnsi="Tahoma" w:cs="Tahoma"/>
        <w:b/>
        <w:sz w:val="16"/>
        <w:szCs w:val="16"/>
      </w:rPr>
      <w:t>(812) 855-9304   https://abroad.iu.edu</w:t>
    </w:r>
  </w:p>
  <w:p w14:paraId="7A15ADFF" w14:textId="1838D7B2" w:rsidR="00B955DA" w:rsidRDefault="00B955DA">
    <w:pPr>
      <w:pStyle w:val="Footer"/>
      <w:jc w:val="right"/>
    </w:pPr>
  </w:p>
  <w:p w14:paraId="2CC0FB29" w14:textId="77777777" w:rsidR="00B955DA" w:rsidRDefault="00B95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9CA4" w14:textId="77777777" w:rsidR="009D2249" w:rsidRDefault="009D2249" w:rsidP="003D26B3">
      <w:r>
        <w:separator/>
      </w:r>
    </w:p>
  </w:footnote>
  <w:footnote w:type="continuationSeparator" w:id="0">
    <w:p w14:paraId="4B0A7FC0" w14:textId="77777777" w:rsidR="009D2249" w:rsidRDefault="009D2249" w:rsidP="003D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F23E6" w14:textId="28400CB6" w:rsidR="00060D59" w:rsidRDefault="00060D59">
    <w:pPr>
      <w:pStyle w:val="Header"/>
    </w:pPr>
    <w:r>
      <w:rPr>
        <w:rFonts w:ascii="Tahoma" w:hAnsi="Tahoma" w:cs="Tahoma"/>
        <w:noProof/>
      </w:rPr>
      <w:drawing>
        <wp:inline distT="0" distB="0" distL="0" distR="0" wp14:anchorId="3C34578B" wp14:editId="3F0F3687">
          <wp:extent cx="2959517" cy="438150"/>
          <wp:effectExtent l="0" t="0" r="0" b="0"/>
          <wp:docPr id="2" name="Picture 2"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76745" cy="440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3in;height:3in" o:bullet="t"/>
    </w:pict>
  </w:numPicBullet>
  <w:abstractNum w:abstractNumId="0" w15:restartNumberingAfterBreak="0">
    <w:nsid w:val="05D7366F"/>
    <w:multiLevelType w:val="hybridMultilevel"/>
    <w:tmpl w:val="2A101A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F5C4B"/>
    <w:multiLevelType w:val="hybridMultilevel"/>
    <w:tmpl w:val="09E864D8"/>
    <w:lvl w:ilvl="0" w:tplc="AA4A51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45BAB"/>
    <w:multiLevelType w:val="multilevel"/>
    <w:tmpl w:val="023A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A57C8"/>
    <w:multiLevelType w:val="hybridMultilevel"/>
    <w:tmpl w:val="500C3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Tahoma" w:hAnsi="Tahoma" w:cs="Tahoma" w:hint="default"/>
      </w:rPr>
    </w:lvl>
    <w:lvl w:ilvl="2" w:tplc="04090005" w:tentative="1">
      <w:start w:val="1"/>
      <w:numFmt w:val="bullet"/>
      <w:lvlText w:val=""/>
      <w:lvlJc w:val="left"/>
      <w:pPr>
        <w:ind w:left="2160" w:hanging="360"/>
      </w:pPr>
      <w:rPr>
        <w:rFonts w:ascii="Arial" w:hAnsi="Arial" w:hint="default"/>
      </w:rPr>
    </w:lvl>
    <w:lvl w:ilvl="3" w:tplc="04090001" w:tentative="1">
      <w:start w:val="1"/>
      <w:numFmt w:val="bullet"/>
      <w:lvlText w:val=""/>
      <w:lvlJc w:val="left"/>
      <w:pPr>
        <w:ind w:left="2880" w:hanging="360"/>
      </w:pPr>
      <w:rPr>
        <w:rFonts w:ascii="Yu Mincho" w:hAnsi="Yu Mincho" w:hint="default"/>
      </w:rPr>
    </w:lvl>
    <w:lvl w:ilvl="4" w:tplc="04090003" w:tentative="1">
      <w:start w:val="1"/>
      <w:numFmt w:val="bullet"/>
      <w:lvlText w:val="o"/>
      <w:lvlJc w:val="left"/>
      <w:pPr>
        <w:ind w:left="3600" w:hanging="360"/>
      </w:pPr>
      <w:rPr>
        <w:rFonts w:ascii="Tahoma" w:hAnsi="Tahoma" w:cs="Tahoma" w:hint="default"/>
      </w:rPr>
    </w:lvl>
    <w:lvl w:ilvl="5" w:tplc="04090005" w:tentative="1">
      <w:start w:val="1"/>
      <w:numFmt w:val="bullet"/>
      <w:lvlText w:val=""/>
      <w:lvlJc w:val="left"/>
      <w:pPr>
        <w:ind w:left="4320" w:hanging="360"/>
      </w:pPr>
      <w:rPr>
        <w:rFonts w:ascii="Arial" w:hAnsi="Arial" w:hint="default"/>
      </w:rPr>
    </w:lvl>
    <w:lvl w:ilvl="6" w:tplc="04090001" w:tentative="1">
      <w:start w:val="1"/>
      <w:numFmt w:val="bullet"/>
      <w:lvlText w:val=""/>
      <w:lvlJc w:val="left"/>
      <w:pPr>
        <w:ind w:left="5040" w:hanging="360"/>
      </w:pPr>
      <w:rPr>
        <w:rFonts w:ascii="Yu Mincho" w:hAnsi="Yu Mincho" w:hint="default"/>
      </w:rPr>
    </w:lvl>
    <w:lvl w:ilvl="7" w:tplc="04090003" w:tentative="1">
      <w:start w:val="1"/>
      <w:numFmt w:val="bullet"/>
      <w:lvlText w:val="o"/>
      <w:lvlJc w:val="left"/>
      <w:pPr>
        <w:ind w:left="5760" w:hanging="360"/>
      </w:pPr>
      <w:rPr>
        <w:rFonts w:ascii="Tahoma" w:hAnsi="Tahoma" w:cs="Tahoma" w:hint="default"/>
      </w:rPr>
    </w:lvl>
    <w:lvl w:ilvl="8" w:tplc="04090005" w:tentative="1">
      <w:start w:val="1"/>
      <w:numFmt w:val="bullet"/>
      <w:lvlText w:val=""/>
      <w:lvlJc w:val="left"/>
      <w:pPr>
        <w:ind w:left="6480" w:hanging="360"/>
      </w:pPr>
      <w:rPr>
        <w:rFonts w:ascii="Arial" w:hAnsi="Arial" w:hint="default"/>
      </w:rPr>
    </w:lvl>
  </w:abstractNum>
  <w:abstractNum w:abstractNumId="4" w15:restartNumberingAfterBreak="0">
    <w:nsid w:val="35925626"/>
    <w:multiLevelType w:val="hybridMultilevel"/>
    <w:tmpl w:val="3E54A29A"/>
    <w:lvl w:ilvl="0" w:tplc="7074A2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4016B"/>
    <w:multiLevelType w:val="hybridMultilevel"/>
    <w:tmpl w:val="2E96A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81A52"/>
    <w:multiLevelType w:val="hybridMultilevel"/>
    <w:tmpl w:val="2E90BB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643ED"/>
    <w:multiLevelType w:val="hybridMultilevel"/>
    <w:tmpl w:val="475C0780"/>
    <w:lvl w:ilvl="0" w:tplc="7074A25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FD5902"/>
    <w:multiLevelType w:val="hybridMultilevel"/>
    <w:tmpl w:val="F3F4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670489">
    <w:abstractNumId w:val="3"/>
  </w:num>
  <w:num w:numId="2" w16cid:durableId="1686470368">
    <w:abstractNumId w:val="8"/>
  </w:num>
  <w:num w:numId="3" w16cid:durableId="939605898">
    <w:abstractNumId w:val="4"/>
  </w:num>
  <w:num w:numId="4" w16cid:durableId="369840977">
    <w:abstractNumId w:val="0"/>
  </w:num>
  <w:num w:numId="5" w16cid:durableId="2588404">
    <w:abstractNumId w:val="7"/>
  </w:num>
  <w:num w:numId="6" w16cid:durableId="1273366709">
    <w:abstractNumId w:val="5"/>
  </w:num>
  <w:num w:numId="7" w16cid:durableId="572928964">
    <w:abstractNumId w:val="6"/>
  </w:num>
  <w:num w:numId="8" w16cid:durableId="1260993492">
    <w:abstractNumId w:val="2"/>
  </w:num>
  <w:num w:numId="9" w16cid:durableId="10033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v:textbox inset="5.85pt,.7pt,5.85pt,.7pt"/>
    </o:shapedefaults>
  </w:hdrShapeDefaults>
  <w:footnotePr>
    <w:numFmt w:val="lowerLetter"/>
    <w:footnote w:id="-1"/>
    <w:footnote w:id="0"/>
  </w:footnotePr>
  <w:endnotePr>
    <w:numFmt w:val="lowerLette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79"/>
    <w:rsid w:val="00011D8D"/>
    <w:rsid w:val="00017184"/>
    <w:rsid w:val="000203CF"/>
    <w:rsid w:val="0002314F"/>
    <w:rsid w:val="00034651"/>
    <w:rsid w:val="00060D59"/>
    <w:rsid w:val="00066E77"/>
    <w:rsid w:val="00070CC6"/>
    <w:rsid w:val="00080AC9"/>
    <w:rsid w:val="000A2D9C"/>
    <w:rsid w:val="000A3EA9"/>
    <w:rsid w:val="000C2CA1"/>
    <w:rsid w:val="000D5113"/>
    <w:rsid w:val="00140139"/>
    <w:rsid w:val="00152310"/>
    <w:rsid w:val="00197E08"/>
    <w:rsid w:val="001A30D9"/>
    <w:rsid w:val="001B0688"/>
    <w:rsid w:val="001B3E11"/>
    <w:rsid w:val="001C082D"/>
    <w:rsid w:val="00245D7A"/>
    <w:rsid w:val="00247B45"/>
    <w:rsid w:val="002832CB"/>
    <w:rsid w:val="002842AE"/>
    <w:rsid w:val="00286D47"/>
    <w:rsid w:val="002903CA"/>
    <w:rsid w:val="002940BF"/>
    <w:rsid w:val="002A61F4"/>
    <w:rsid w:val="002B7E78"/>
    <w:rsid w:val="002C33A8"/>
    <w:rsid w:val="002C539B"/>
    <w:rsid w:val="002D6ABE"/>
    <w:rsid w:val="002F4192"/>
    <w:rsid w:val="002F49C3"/>
    <w:rsid w:val="003006A3"/>
    <w:rsid w:val="00300959"/>
    <w:rsid w:val="0030155B"/>
    <w:rsid w:val="00305F71"/>
    <w:rsid w:val="00320336"/>
    <w:rsid w:val="0032362C"/>
    <w:rsid w:val="00331D91"/>
    <w:rsid w:val="00333894"/>
    <w:rsid w:val="00343B7E"/>
    <w:rsid w:val="00355FE0"/>
    <w:rsid w:val="0036164E"/>
    <w:rsid w:val="003753B1"/>
    <w:rsid w:val="00377205"/>
    <w:rsid w:val="003D26B3"/>
    <w:rsid w:val="004161F3"/>
    <w:rsid w:val="00423D3B"/>
    <w:rsid w:val="00433B79"/>
    <w:rsid w:val="00442BF1"/>
    <w:rsid w:val="0044551D"/>
    <w:rsid w:val="00470DEA"/>
    <w:rsid w:val="004775D4"/>
    <w:rsid w:val="00486459"/>
    <w:rsid w:val="004D285B"/>
    <w:rsid w:val="00502CB2"/>
    <w:rsid w:val="00523E0B"/>
    <w:rsid w:val="0053596A"/>
    <w:rsid w:val="005403F5"/>
    <w:rsid w:val="005859B7"/>
    <w:rsid w:val="00590015"/>
    <w:rsid w:val="005945E0"/>
    <w:rsid w:val="005A5ED5"/>
    <w:rsid w:val="005B2FA8"/>
    <w:rsid w:val="005C4091"/>
    <w:rsid w:val="0060448F"/>
    <w:rsid w:val="0064546B"/>
    <w:rsid w:val="006716B3"/>
    <w:rsid w:val="00681AA8"/>
    <w:rsid w:val="00692743"/>
    <w:rsid w:val="006A287F"/>
    <w:rsid w:val="006B388B"/>
    <w:rsid w:val="006D68BC"/>
    <w:rsid w:val="006E2226"/>
    <w:rsid w:val="006F0678"/>
    <w:rsid w:val="006F113A"/>
    <w:rsid w:val="006F3738"/>
    <w:rsid w:val="00704927"/>
    <w:rsid w:val="007051B7"/>
    <w:rsid w:val="00742225"/>
    <w:rsid w:val="00790FA4"/>
    <w:rsid w:val="007942C1"/>
    <w:rsid w:val="007D7C00"/>
    <w:rsid w:val="007E03DF"/>
    <w:rsid w:val="00806008"/>
    <w:rsid w:val="0082737E"/>
    <w:rsid w:val="00830BD9"/>
    <w:rsid w:val="00832EF3"/>
    <w:rsid w:val="00855CB4"/>
    <w:rsid w:val="00863FA7"/>
    <w:rsid w:val="0086730E"/>
    <w:rsid w:val="00870BD9"/>
    <w:rsid w:val="00872540"/>
    <w:rsid w:val="00873A64"/>
    <w:rsid w:val="008904B9"/>
    <w:rsid w:val="00890CCC"/>
    <w:rsid w:val="008973F8"/>
    <w:rsid w:val="008A5644"/>
    <w:rsid w:val="008B103E"/>
    <w:rsid w:val="008B36E2"/>
    <w:rsid w:val="008D3264"/>
    <w:rsid w:val="008D3287"/>
    <w:rsid w:val="008E0A01"/>
    <w:rsid w:val="008E7216"/>
    <w:rsid w:val="008F324B"/>
    <w:rsid w:val="008F4991"/>
    <w:rsid w:val="00905C52"/>
    <w:rsid w:val="00942CAA"/>
    <w:rsid w:val="009471D5"/>
    <w:rsid w:val="00966530"/>
    <w:rsid w:val="009708E7"/>
    <w:rsid w:val="00973669"/>
    <w:rsid w:val="00977F84"/>
    <w:rsid w:val="009842F5"/>
    <w:rsid w:val="009B0B3F"/>
    <w:rsid w:val="009C7A39"/>
    <w:rsid w:val="009D2249"/>
    <w:rsid w:val="009D3DD3"/>
    <w:rsid w:val="00A15AF9"/>
    <w:rsid w:val="00A3484C"/>
    <w:rsid w:val="00A374A2"/>
    <w:rsid w:val="00A44734"/>
    <w:rsid w:val="00A66BCE"/>
    <w:rsid w:val="00A71FD2"/>
    <w:rsid w:val="00AA2317"/>
    <w:rsid w:val="00AA3951"/>
    <w:rsid w:val="00AB7C52"/>
    <w:rsid w:val="00AC40ED"/>
    <w:rsid w:val="00AC6C4B"/>
    <w:rsid w:val="00B01BA0"/>
    <w:rsid w:val="00B307BD"/>
    <w:rsid w:val="00B32218"/>
    <w:rsid w:val="00B350B2"/>
    <w:rsid w:val="00B41614"/>
    <w:rsid w:val="00B42E81"/>
    <w:rsid w:val="00B955DA"/>
    <w:rsid w:val="00BA125E"/>
    <w:rsid w:val="00BC370E"/>
    <w:rsid w:val="00BC65C0"/>
    <w:rsid w:val="00BF3576"/>
    <w:rsid w:val="00C1171D"/>
    <w:rsid w:val="00C17989"/>
    <w:rsid w:val="00C24812"/>
    <w:rsid w:val="00C34B6A"/>
    <w:rsid w:val="00C50DEF"/>
    <w:rsid w:val="00C64A0D"/>
    <w:rsid w:val="00C748E7"/>
    <w:rsid w:val="00C80809"/>
    <w:rsid w:val="00C916F1"/>
    <w:rsid w:val="00CB0FA9"/>
    <w:rsid w:val="00CC44A3"/>
    <w:rsid w:val="00CF0AE9"/>
    <w:rsid w:val="00CF6237"/>
    <w:rsid w:val="00CF7F1E"/>
    <w:rsid w:val="00D00569"/>
    <w:rsid w:val="00D02139"/>
    <w:rsid w:val="00D071F3"/>
    <w:rsid w:val="00D42B6C"/>
    <w:rsid w:val="00D465B8"/>
    <w:rsid w:val="00D5479D"/>
    <w:rsid w:val="00D62012"/>
    <w:rsid w:val="00D64F6D"/>
    <w:rsid w:val="00D736A4"/>
    <w:rsid w:val="00E00543"/>
    <w:rsid w:val="00E176C2"/>
    <w:rsid w:val="00E326D7"/>
    <w:rsid w:val="00E47102"/>
    <w:rsid w:val="00E85B67"/>
    <w:rsid w:val="00E92C57"/>
    <w:rsid w:val="00EA7925"/>
    <w:rsid w:val="00EE0624"/>
    <w:rsid w:val="00F0577F"/>
    <w:rsid w:val="00F07343"/>
    <w:rsid w:val="00F13577"/>
    <w:rsid w:val="00F14B16"/>
    <w:rsid w:val="00F15297"/>
    <w:rsid w:val="00F23001"/>
    <w:rsid w:val="00F24970"/>
    <w:rsid w:val="00F458B7"/>
    <w:rsid w:val="00F538AE"/>
    <w:rsid w:val="00F60491"/>
    <w:rsid w:val="00F73C88"/>
    <w:rsid w:val="00FA10BE"/>
    <w:rsid w:val="00FA43E3"/>
    <w:rsid w:val="00FA6634"/>
    <w:rsid w:val="00FC6AF4"/>
    <w:rsid w:val="00FF0F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395F397"/>
  <w15:chartTrackingRefBased/>
  <w15:docId w15:val="{25026572-BD30-F843-AF27-519FEE4D0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Yu Gothic Light" w:hAnsi="MS Mincho" w:cs="MS Mincho"/>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0624"/>
    <w:rPr>
      <w:rFonts w:ascii="Symbol" w:hAnsi="Symbol" w:cs="Symbol"/>
      <w:sz w:val="16"/>
      <w:szCs w:val="16"/>
    </w:rPr>
  </w:style>
  <w:style w:type="paragraph" w:customStyle="1" w:styleId="BodyText1">
    <w:name w:val="Body Text1"/>
    <w:basedOn w:val="Normal"/>
    <w:rsid w:val="00D64F6D"/>
    <w:pPr>
      <w:widowControl w:val="0"/>
      <w:tabs>
        <w:tab w:val="left" w:pos="0"/>
        <w:tab w:val="left" w:pos="360"/>
        <w:tab w:val="left" w:pos="743"/>
        <w:tab w:val="left" w:pos="1080"/>
        <w:tab w:val="left" w:pos="1440"/>
        <w:tab w:val="left" w:pos="1800"/>
        <w:tab w:val="left" w:pos="2160"/>
        <w:tab w:val="left" w:pos="2520"/>
        <w:tab w:val="left" w:pos="2880"/>
        <w:tab w:val="left" w:pos="3240"/>
        <w:tab w:val="left" w:pos="3600"/>
        <w:tab w:val="left" w:pos="3960"/>
        <w:tab w:val="left" w:pos="4320"/>
        <w:tab w:val="left" w:pos="4680"/>
        <w:tab w:val="left" w:pos="5017"/>
        <w:tab w:val="left" w:pos="5354"/>
        <w:tab w:val="left" w:pos="5760"/>
        <w:tab w:val="left" w:pos="6120"/>
        <w:tab w:val="left" w:pos="6480"/>
        <w:tab w:val="left" w:pos="7200"/>
        <w:tab w:val="left" w:pos="7920"/>
        <w:tab w:val="left" w:pos="8640"/>
      </w:tabs>
      <w:jc w:val="both"/>
    </w:pPr>
    <w:rPr>
      <w:rFonts w:ascii="Courier New" w:hAnsi="Courier New"/>
      <w:sz w:val="22"/>
    </w:rPr>
  </w:style>
  <w:style w:type="table" w:styleId="TableGrid">
    <w:name w:val="Table Grid"/>
    <w:basedOn w:val="TableNormal"/>
    <w:uiPriority w:val="39"/>
    <w:rsid w:val="003006A3"/>
    <w:rPr>
      <w:rFonts w:ascii="Wingdings" w:eastAsia="Wingdings" w:hAnsi="Wingding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006A3"/>
    <w:rPr>
      <w:color w:val="0563C1"/>
      <w:u w:val="single"/>
    </w:rPr>
  </w:style>
  <w:style w:type="paragraph" w:styleId="ListParagraph">
    <w:name w:val="List Paragraph"/>
    <w:basedOn w:val="Normal"/>
    <w:uiPriority w:val="34"/>
    <w:qFormat/>
    <w:rsid w:val="003006A3"/>
    <w:pPr>
      <w:spacing w:after="160" w:line="259" w:lineRule="auto"/>
      <w:ind w:left="720"/>
      <w:contextualSpacing/>
    </w:pPr>
    <w:rPr>
      <w:rFonts w:ascii="Wingdings" w:eastAsia="Wingdings" w:hAnsi="Wingdings"/>
      <w:sz w:val="22"/>
      <w:szCs w:val="22"/>
    </w:rPr>
  </w:style>
  <w:style w:type="character" w:styleId="UnresolvedMention">
    <w:name w:val="Unresolved Mention"/>
    <w:uiPriority w:val="99"/>
    <w:semiHidden/>
    <w:unhideWhenUsed/>
    <w:rsid w:val="00890CCC"/>
    <w:rPr>
      <w:color w:val="605E5C"/>
      <w:shd w:val="clear" w:color="auto" w:fill="E1DFDD"/>
    </w:rPr>
  </w:style>
  <w:style w:type="paragraph" w:styleId="NormalWeb">
    <w:name w:val="Normal (Web)"/>
    <w:basedOn w:val="Normal"/>
    <w:uiPriority w:val="99"/>
    <w:unhideWhenUsed/>
    <w:rsid w:val="00CF7F1E"/>
    <w:pPr>
      <w:spacing w:before="100" w:beforeAutospacing="1" w:after="100" w:afterAutospacing="1"/>
    </w:pPr>
    <w:rPr>
      <w:szCs w:val="24"/>
      <w:lang w:eastAsia="ja-JP"/>
    </w:rPr>
  </w:style>
  <w:style w:type="character" w:styleId="FollowedHyperlink">
    <w:name w:val="FollowedHyperlink"/>
    <w:rsid w:val="00CF7F1E"/>
    <w:rPr>
      <w:color w:val="954F72"/>
      <w:u w:val="single"/>
    </w:rPr>
  </w:style>
  <w:style w:type="paragraph" w:customStyle="1" w:styleId="Default">
    <w:name w:val="Default"/>
    <w:rsid w:val="00CF7F1E"/>
    <w:pPr>
      <w:autoSpaceDE w:val="0"/>
      <w:autoSpaceDN w:val="0"/>
      <w:adjustRightInd w:val="0"/>
    </w:pPr>
    <w:rPr>
      <w:rFonts w:eastAsia="Cambria Math"/>
      <w:color w:val="000000"/>
      <w:sz w:val="24"/>
      <w:szCs w:val="24"/>
      <w:lang w:eastAsia="ja-JP"/>
    </w:rPr>
  </w:style>
  <w:style w:type="character" w:customStyle="1" w:styleId="style-scope">
    <w:name w:val="style-scope"/>
    <w:basedOn w:val="DefaultParagraphFont"/>
    <w:rsid w:val="00CF7F1E"/>
  </w:style>
  <w:style w:type="paragraph" w:styleId="Revision">
    <w:name w:val="Revision"/>
    <w:hidden/>
    <w:uiPriority w:val="99"/>
    <w:semiHidden/>
    <w:rsid w:val="0053596A"/>
    <w:rPr>
      <w:sz w:val="24"/>
    </w:rPr>
  </w:style>
  <w:style w:type="character" w:styleId="CommentReference">
    <w:name w:val="annotation reference"/>
    <w:rsid w:val="0053596A"/>
    <w:rPr>
      <w:sz w:val="18"/>
      <w:szCs w:val="18"/>
    </w:rPr>
  </w:style>
  <w:style w:type="paragraph" w:styleId="CommentText">
    <w:name w:val="annotation text"/>
    <w:basedOn w:val="Normal"/>
    <w:link w:val="CommentTextChar"/>
    <w:rsid w:val="0053596A"/>
  </w:style>
  <w:style w:type="character" w:customStyle="1" w:styleId="CommentTextChar">
    <w:name w:val="Comment Text Char"/>
    <w:link w:val="CommentText"/>
    <w:rsid w:val="0053596A"/>
    <w:rPr>
      <w:sz w:val="24"/>
      <w:lang w:eastAsia="en-US"/>
    </w:rPr>
  </w:style>
  <w:style w:type="paragraph" w:styleId="CommentSubject">
    <w:name w:val="annotation subject"/>
    <w:basedOn w:val="CommentText"/>
    <w:next w:val="CommentText"/>
    <w:link w:val="CommentSubjectChar"/>
    <w:rsid w:val="0053596A"/>
    <w:rPr>
      <w:b/>
      <w:bCs/>
    </w:rPr>
  </w:style>
  <w:style w:type="character" w:customStyle="1" w:styleId="CommentSubjectChar">
    <w:name w:val="Comment Subject Char"/>
    <w:link w:val="CommentSubject"/>
    <w:rsid w:val="0053596A"/>
    <w:rPr>
      <w:b/>
      <w:bCs/>
      <w:sz w:val="24"/>
      <w:lang w:eastAsia="en-US"/>
    </w:rPr>
  </w:style>
  <w:style w:type="paragraph" w:styleId="Header">
    <w:name w:val="header"/>
    <w:basedOn w:val="Normal"/>
    <w:link w:val="HeaderChar"/>
    <w:rsid w:val="003D26B3"/>
    <w:pPr>
      <w:tabs>
        <w:tab w:val="center" w:pos="4252"/>
        <w:tab w:val="right" w:pos="8504"/>
      </w:tabs>
      <w:snapToGrid w:val="0"/>
    </w:pPr>
  </w:style>
  <w:style w:type="character" w:customStyle="1" w:styleId="HeaderChar">
    <w:name w:val="Header Char"/>
    <w:link w:val="Header"/>
    <w:rsid w:val="003D26B3"/>
    <w:rPr>
      <w:sz w:val="24"/>
      <w:lang w:eastAsia="en-US"/>
    </w:rPr>
  </w:style>
  <w:style w:type="paragraph" w:styleId="Footer">
    <w:name w:val="footer"/>
    <w:basedOn w:val="Normal"/>
    <w:link w:val="FooterChar"/>
    <w:uiPriority w:val="99"/>
    <w:rsid w:val="003D26B3"/>
    <w:pPr>
      <w:tabs>
        <w:tab w:val="center" w:pos="4252"/>
        <w:tab w:val="right" w:pos="8504"/>
      </w:tabs>
      <w:snapToGrid w:val="0"/>
    </w:pPr>
  </w:style>
  <w:style w:type="character" w:customStyle="1" w:styleId="FooterChar">
    <w:name w:val="Footer Char"/>
    <w:link w:val="Footer"/>
    <w:uiPriority w:val="99"/>
    <w:rsid w:val="003D26B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18078-8C7C-4A6E-90F3-59EA7A7A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515</Words>
  <Characters>2834</Characters>
  <Application>Microsoft Office Word</Application>
  <DocSecurity>0</DocSecurity>
  <Lines>23</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Fee Schedule Spring 2005</vt:lpstr>
      <vt:lpstr>Fee Schedule Spring 2005</vt:lpstr>
    </vt:vector>
  </TitlesOfParts>
  <Company>Indiana University</Company>
  <LinksUpToDate>false</LinksUpToDate>
  <CharactersWithSpaces>3343</CharactersWithSpaces>
  <SharedDoc>false</SharedDoc>
  <HLinks>
    <vt:vector size="24" baseType="variant">
      <vt:variant>
        <vt:i4>8257644</vt:i4>
      </vt:variant>
      <vt:variant>
        <vt:i4>11</vt:i4>
      </vt:variant>
      <vt:variant>
        <vt:i4>0</vt:i4>
      </vt:variant>
      <vt:variant>
        <vt:i4>5</vt:i4>
      </vt:variant>
      <vt:variant>
        <vt:lpwstr>https://www.auswaertiges-amt.de/en/coronavirus/2317268</vt:lpwstr>
      </vt:variant>
      <vt:variant>
        <vt:lpwstr/>
      </vt:variant>
      <vt:variant>
        <vt:i4>6160498</vt:i4>
      </vt:variant>
      <vt:variant>
        <vt:i4>8</vt:i4>
      </vt:variant>
      <vt:variant>
        <vt:i4>0</vt:i4>
      </vt:variant>
      <vt:variant>
        <vt:i4>5</vt:i4>
      </vt:variant>
      <vt:variant>
        <vt:lpwstr>mailto:mdhutchi@iu.edu</vt:lpwstr>
      </vt:variant>
      <vt:variant>
        <vt:lpwstr/>
      </vt:variant>
      <vt:variant>
        <vt:i4>3014657</vt:i4>
      </vt:variant>
      <vt:variant>
        <vt:i4>5</vt:i4>
      </vt:variant>
      <vt:variant>
        <vt:i4>0</vt:i4>
      </vt:variant>
      <vt:variant>
        <vt:i4>5</vt:i4>
      </vt:variant>
      <vt:variant>
        <vt:lpwstr>mailto:jluppes@iusb.edu</vt:lpwstr>
      </vt:variant>
      <vt:variant>
        <vt:lpwstr/>
      </vt:variant>
      <vt:variant>
        <vt:i4>6226043</vt:i4>
      </vt:variant>
      <vt:variant>
        <vt:i4>2</vt:i4>
      </vt:variant>
      <vt:variant>
        <vt:i4>0</vt:i4>
      </vt:variant>
      <vt:variant>
        <vt:i4>5</vt:i4>
      </vt:variant>
      <vt:variant>
        <vt:lpwstr>mailto:overseas@iu.edu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 Schedule Spring 2005</dc:title>
  <dc:subject/>
  <dc:creator>laura</dc:creator>
  <cp:keywords/>
  <cp:lastModifiedBy>Carty, Susan A</cp:lastModifiedBy>
  <cp:revision>3</cp:revision>
  <cp:lastPrinted>2023-05-08T20:33:00Z</cp:lastPrinted>
  <dcterms:created xsi:type="dcterms:W3CDTF">2023-09-04T12:39:00Z</dcterms:created>
  <dcterms:modified xsi:type="dcterms:W3CDTF">2023-09-04T12:39:00Z</dcterms:modified>
</cp:coreProperties>
</file>